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BC2D">
      <w:pPr>
        <w:pStyle w:val="5"/>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14:paraId="356D3DCA">
      <w:pPr>
        <w:pStyle w:val="5"/>
      </w:pPr>
      <w:r>
        <w:t xml:space="preserve">Njegoševa 10/1 , 10000 ZAGREB                                               </w:t>
      </w:r>
    </w:p>
    <w:p w14:paraId="43C6DDFE">
      <w:pPr>
        <w:pStyle w:val="5"/>
      </w:pPr>
      <w:r>
        <w:t xml:space="preserve">Mob.:  098/1870-178                                                                  </w:t>
      </w:r>
    </w:p>
    <w:p w14:paraId="3B6E7E38">
      <w:pPr>
        <w:pStyle w:val="5"/>
      </w:pPr>
      <w:r>
        <w:t xml:space="preserve">e-mail: </w:t>
      </w:r>
      <w:r>
        <w:fldChar w:fldCharType="begin"/>
      </w:r>
      <w:r>
        <w:instrText xml:space="preserve"> HYPERLINK "mailto:predsjednik@pcelinjak.hr" </w:instrText>
      </w:r>
      <w:r>
        <w:fldChar w:fldCharType="separate"/>
      </w:r>
      <w:r>
        <w:rPr>
          <w:rStyle w:val="4"/>
        </w:rPr>
        <w:t>predsjednik@pcelinjak.hr</w:t>
      </w:r>
      <w:r>
        <w:rPr>
          <w:rStyle w:val="4"/>
        </w:rPr>
        <w:fldChar w:fldCharType="end"/>
      </w:r>
    </w:p>
    <w:p w14:paraId="7A118249">
      <w:pPr>
        <w:pStyle w:val="5"/>
      </w:pPr>
      <w:r>
        <w:t>OIB: 57314858379</w:t>
      </w:r>
    </w:p>
    <w:p w14:paraId="1A105446">
      <w:pPr>
        <w:pStyle w:val="5"/>
      </w:pPr>
      <w:r>
        <w:t>Rn: HR 712484008 1135077745  RBA</w:t>
      </w:r>
    </w:p>
    <w:p w14:paraId="2B249052">
      <w:pPr>
        <w:rPr>
          <w:b/>
        </w:rPr>
      </w:pPr>
      <w:r>
        <w:t xml:space="preserve">www.pcelinjak.hr                                                                        </w:t>
      </w:r>
    </w:p>
    <w:p w14:paraId="35BA97A7">
      <w:pPr>
        <w:rPr>
          <w:b/>
        </w:rPr>
      </w:pPr>
    </w:p>
    <w:p w14:paraId="6E11FCB3">
      <w:pPr>
        <w:rPr>
          <w:b/>
        </w:rPr>
      </w:pPr>
    </w:p>
    <w:p w14:paraId="35D8EDE7">
      <w:pPr>
        <w:rPr>
          <w:rFonts w:ascii="Arial" w:hAnsi="Arial" w:cs="Arial"/>
          <w:b/>
          <w:sz w:val="28"/>
          <w:szCs w:val="28"/>
        </w:rPr>
      </w:pPr>
    </w:p>
    <w:p w14:paraId="00CA8559">
      <w:pPr>
        <w:jc w:val="center"/>
        <w:rPr>
          <w:rFonts w:ascii="Arial" w:hAnsi="Arial" w:cs="Arial"/>
          <w:sz w:val="28"/>
          <w:szCs w:val="28"/>
        </w:rPr>
      </w:pPr>
      <w:r>
        <w:rPr>
          <w:rFonts w:ascii="Arial" w:hAnsi="Arial" w:cs="Arial"/>
          <w:sz w:val="28"/>
          <w:szCs w:val="28"/>
        </w:rPr>
        <w:t>FINANCIJSKI PLAN ZA 2026 GODINU</w:t>
      </w:r>
    </w:p>
    <w:p w14:paraId="0050CFD7">
      <w:pPr>
        <w:jc w:val="center"/>
        <w:rPr>
          <w:rFonts w:ascii="Arial" w:hAnsi="Arial" w:cs="Arial"/>
          <w:sz w:val="28"/>
          <w:szCs w:val="28"/>
        </w:rPr>
      </w:pPr>
    </w:p>
    <w:p w14:paraId="4E9F61B0">
      <w:pPr>
        <w:jc w:val="center"/>
        <w:rPr>
          <w:rFonts w:ascii="Arial" w:hAnsi="Arial" w:cs="Arial"/>
          <w:sz w:val="28"/>
          <w:szCs w:val="28"/>
        </w:rPr>
      </w:pPr>
    </w:p>
    <w:p w14:paraId="34C50719">
      <w:pPr>
        <w:jc w:val="center"/>
        <w:rPr>
          <w:rFonts w:ascii="Arial" w:hAnsi="Arial" w:cs="Arial"/>
          <w:sz w:val="28"/>
          <w:szCs w:val="28"/>
        </w:rPr>
      </w:pPr>
    </w:p>
    <w:p w14:paraId="489B8133">
      <w:pPr>
        <w:jc w:val="center"/>
        <w:rPr>
          <w:rFonts w:ascii="Arial" w:hAnsi="Arial" w:cs="Arial"/>
          <w:sz w:val="28"/>
          <w:szCs w:val="28"/>
        </w:rPr>
      </w:pPr>
      <w:r>
        <w:rPr>
          <w:rFonts w:ascii="Arial" w:hAnsi="Arial" w:cs="Arial"/>
          <w:sz w:val="28"/>
          <w:szCs w:val="28"/>
        </w:rPr>
        <w:t>Prihodi</w:t>
      </w:r>
    </w:p>
    <w:p w14:paraId="3266529E">
      <w:pPr>
        <w:jc w:val="center"/>
        <w:rPr>
          <w:rFonts w:ascii="Arial" w:hAnsi="Arial" w:cs="Arial"/>
          <w:sz w:val="28"/>
          <w:szCs w:val="28"/>
        </w:rPr>
      </w:pPr>
    </w:p>
    <w:p w14:paraId="69D4147E">
      <w:pPr>
        <w:jc w:val="both"/>
        <w:rPr>
          <w:rFonts w:ascii="Arial" w:hAnsi="Arial" w:cs="Arial"/>
          <w:sz w:val="28"/>
          <w:szCs w:val="28"/>
        </w:rPr>
      </w:pPr>
      <w:r>
        <w:rPr>
          <w:rFonts w:ascii="Arial" w:hAnsi="Arial" w:cs="Arial"/>
          <w:sz w:val="28"/>
          <w:szCs w:val="28"/>
        </w:rPr>
        <w:t>1. članarine</w:t>
      </w:r>
      <w:r>
        <w:rPr>
          <w:rFonts w:ascii="Arial" w:hAnsi="Arial" w:cs="Arial"/>
          <w:sz w:val="28"/>
          <w:szCs w:val="28"/>
        </w:rPr>
        <w:tab/>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750,00 eura</w:t>
      </w:r>
    </w:p>
    <w:p w14:paraId="225301D3">
      <w:pPr>
        <w:jc w:val="both"/>
        <w:rPr>
          <w:rFonts w:ascii="Arial" w:hAnsi="Arial" w:cs="Arial"/>
          <w:sz w:val="28"/>
          <w:szCs w:val="28"/>
        </w:rPr>
      </w:pPr>
      <w:r>
        <w:rPr>
          <w:rFonts w:ascii="Arial" w:hAnsi="Arial" w:cs="Arial"/>
          <w:sz w:val="28"/>
          <w:szCs w:val="28"/>
        </w:rPr>
        <w:t xml:space="preserve">2. donacije(projekti)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10.000,00 eura</w:t>
      </w:r>
    </w:p>
    <w:p w14:paraId="48EBCF76">
      <w:pPr>
        <w:jc w:val="both"/>
        <w:rPr>
          <w:rFonts w:ascii="Arial" w:hAnsi="Arial" w:cs="Arial"/>
          <w:sz w:val="28"/>
          <w:szCs w:val="28"/>
        </w:rPr>
      </w:pPr>
      <w:r>
        <w:rPr>
          <w:rFonts w:ascii="Arial" w:hAnsi="Arial" w:cs="Arial"/>
          <w:sz w:val="28"/>
          <w:szCs w:val="28"/>
        </w:rPr>
        <w:t>3. ostalo                                                                          2.000,00 eura</w:t>
      </w:r>
    </w:p>
    <w:p w14:paraId="085C9688">
      <w:pPr>
        <w:jc w:val="both"/>
        <w:rPr>
          <w:rFonts w:ascii="Arial" w:hAnsi="Arial" w:cs="Arial"/>
          <w:sz w:val="28"/>
          <w:szCs w:val="28"/>
        </w:rPr>
      </w:pPr>
      <w:r>
        <w:rPr>
          <w:rFonts w:ascii="Arial" w:hAnsi="Arial" w:cs="Arial"/>
          <w:sz w:val="28"/>
          <w:szCs w:val="28"/>
        </w:rPr>
        <w:t>4. samostalna djelatnost                                                 2.000,00 eura</w:t>
      </w:r>
    </w:p>
    <w:p w14:paraId="5CD77BA5">
      <w:pPr>
        <w:jc w:val="both"/>
        <w:rPr>
          <w:rFonts w:ascii="Arial" w:hAnsi="Arial" w:cs="Arial"/>
          <w:sz w:val="28"/>
          <w:szCs w:val="28"/>
        </w:rPr>
      </w:pPr>
    </w:p>
    <w:p w14:paraId="79C3E077">
      <w:pPr>
        <w:jc w:val="both"/>
        <w:rPr>
          <w:rFonts w:ascii="Arial" w:hAnsi="Arial" w:cs="Arial"/>
          <w:sz w:val="28"/>
          <w:szCs w:val="28"/>
        </w:rPr>
      </w:pPr>
      <w:r>
        <w:rPr>
          <w:rFonts w:ascii="Arial" w:hAnsi="Arial" w:cs="Arial"/>
          <w:sz w:val="28"/>
          <w:szCs w:val="28"/>
        </w:rPr>
        <w:t xml:space="preserve">Ukupno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14.750,00 eura</w:t>
      </w:r>
    </w:p>
    <w:p w14:paraId="4D0E3F56">
      <w:pPr>
        <w:jc w:val="both"/>
        <w:rPr>
          <w:rFonts w:ascii="Arial" w:hAnsi="Arial" w:cs="Arial"/>
          <w:sz w:val="28"/>
          <w:szCs w:val="28"/>
        </w:rPr>
      </w:pPr>
    </w:p>
    <w:p w14:paraId="62701CC3">
      <w:pPr>
        <w:jc w:val="center"/>
        <w:rPr>
          <w:rFonts w:ascii="Arial" w:hAnsi="Arial" w:cs="Arial"/>
          <w:sz w:val="28"/>
          <w:szCs w:val="28"/>
        </w:rPr>
      </w:pPr>
      <w:r>
        <w:rPr>
          <w:rFonts w:ascii="Arial" w:hAnsi="Arial" w:cs="Arial"/>
          <w:sz w:val="28"/>
          <w:szCs w:val="28"/>
        </w:rPr>
        <w:t>Rashodi</w:t>
      </w:r>
    </w:p>
    <w:p w14:paraId="5846C26E">
      <w:pPr>
        <w:jc w:val="both"/>
        <w:rPr>
          <w:rFonts w:ascii="Arial" w:hAnsi="Arial" w:cs="Arial"/>
          <w:sz w:val="28"/>
          <w:szCs w:val="28"/>
        </w:rPr>
      </w:pPr>
    </w:p>
    <w:p w14:paraId="38314A5C">
      <w:pPr>
        <w:jc w:val="both"/>
        <w:rPr>
          <w:rFonts w:ascii="Arial" w:hAnsi="Arial" w:cs="Arial"/>
          <w:sz w:val="28"/>
          <w:szCs w:val="28"/>
        </w:rPr>
      </w:pPr>
      <w:r>
        <w:rPr>
          <w:rFonts w:ascii="Arial" w:hAnsi="Arial" w:cs="Arial"/>
          <w:sz w:val="28"/>
          <w:szCs w:val="28"/>
        </w:rPr>
        <w:t xml:space="preserve">1. vođenje računa u banci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500,00 eura</w:t>
      </w:r>
    </w:p>
    <w:p w14:paraId="5520738A">
      <w:pPr>
        <w:jc w:val="both"/>
        <w:rPr>
          <w:rFonts w:ascii="Arial" w:hAnsi="Arial" w:cs="Arial"/>
          <w:sz w:val="28"/>
          <w:szCs w:val="28"/>
        </w:rPr>
      </w:pPr>
      <w:r>
        <w:rPr>
          <w:rFonts w:ascii="Arial" w:hAnsi="Arial" w:cs="Arial"/>
          <w:sz w:val="28"/>
          <w:szCs w:val="28"/>
        </w:rPr>
        <w:t xml:space="preserve">2. uredski materijal </w:t>
      </w:r>
      <w:r>
        <w:rPr>
          <w:rFonts w:ascii="Arial" w:hAnsi="Arial" w:cs="Arial"/>
          <w:sz w:val="28"/>
          <w:szCs w:val="28"/>
        </w:rPr>
        <w:tab/>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1.000,00 eura</w:t>
      </w:r>
    </w:p>
    <w:p w14:paraId="1479A025">
      <w:pPr>
        <w:jc w:val="both"/>
        <w:rPr>
          <w:rFonts w:ascii="Arial" w:hAnsi="Arial" w:cs="Arial"/>
          <w:sz w:val="28"/>
          <w:szCs w:val="28"/>
        </w:rPr>
      </w:pPr>
      <w:r>
        <w:rPr>
          <w:rFonts w:ascii="Arial" w:hAnsi="Arial" w:cs="Arial"/>
          <w:sz w:val="28"/>
          <w:szCs w:val="28"/>
        </w:rPr>
        <w:t xml:space="preserve">3. domjenci, izleti i ostalo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1.000,00 eura</w:t>
      </w:r>
    </w:p>
    <w:p w14:paraId="114440D0">
      <w:pPr>
        <w:jc w:val="both"/>
        <w:rPr>
          <w:rFonts w:ascii="Arial" w:hAnsi="Arial" w:cs="Arial"/>
          <w:sz w:val="28"/>
          <w:szCs w:val="28"/>
        </w:rPr>
      </w:pPr>
      <w:r>
        <w:rPr>
          <w:rFonts w:ascii="Arial" w:hAnsi="Arial" w:cs="Arial"/>
          <w:sz w:val="28"/>
          <w:szCs w:val="28"/>
        </w:rPr>
        <w:t xml:space="preserve">4. troškovi auto košare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2.000,00 eura</w:t>
      </w:r>
    </w:p>
    <w:p w14:paraId="30D71AEB">
      <w:pPr>
        <w:jc w:val="both"/>
        <w:rPr>
          <w:rFonts w:ascii="Arial" w:hAnsi="Arial" w:cs="Arial"/>
          <w:sz w:val="28"/>
          <w:szCs w:val="28"/>
        </w:rPr>
      </w:pPr>
      <w:r>
        <w:rPr>
          <w:rFonts w:ascii="Arial" w:hAnsi="Arial" w:cs="Arial"/>
          <w:sz w:val="28"/>
          <w:szCs w:val="28"/>
        </w:rPr>
        <w:t>5. nabavka sredstava za GPS 112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3.000,00 eura</w:t>
      </w:r>
    </w:p>
    <w:p w14:paraId="091172ED">
      <w:pPr>
        <w:jc w:val="both"/>
        <w:rPr>
          <w:rFonts w:ascii="Arial" w:hAnsi="Arial" w:cs="Arial"/>
          <w:sz w:val="28"/>
          <w:szCs w:val="28"/>
        </w:rPr>
      </w:pPr>
      <w:r>
        <w:rPr>
          <w:rFonts w:ascii="Arial" w:hAnsi="Arial" w:cs="Arial"/>
          <w:sz w:val="28"/>
          <w:szCs w:val="28"/>
        </w:rPr>
        <w:t>6. knjigovodstvene usluge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600,00 eura</w:t>
      </w:r>
    </w:p>
    <w:p w14:paraId="2BDABC83">
      <w:pPr>
        <w:jc w:val="both"/>
        <w:rPr>
          <w:rFonts w:ascii="Arial" w:hAnsi="Arial" w:cs="Arial"/>
          <w:sz w:val="28"/>
          <w:szCs w:val="28"/>
        </w:rPr>
      </w:pPr>
    </w:p>
    <w:p w14:paraId="7B2DFADE">
      <w:pPr>
        <w:jc w:val="both"/>
        <w:rPr>
          <w:rFonts w:ascii="Arial" w:hAnsi="Arial" w:cs="Arial"/>
          <w:sz w:val="28"/>
          <w:szCs w:val="28"/>
        </w:rPr>
      </w:pPr>
      <w:r>
        <w:rPr>
          <w:rFonts w:ascii="Arial" w:hAnsi="Arial" w:cs="Arial"/>
          <w:sz w:val="28"/>
          <w:szCs w:val="28"/>
        </w:rPr>
        <w:t xml:space="preserve">Ukupno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8.100,00 eura</w:t>
      </w:r>
    </w:p>
    <w:p w14:paraId="58E24D07">
      <w:pPr>
        <w:jc w:val="both"/>
        <w:rPr>
          <w:rFonts w:ascii="Arial" w:hAnsi="Arial" w:cs="Arial"/>
          <w:sz w:val="28"/>
          <w:szCs w:val="28"/>
        </w:rPr>
      </w:pPr>
    </w:p>
    <w:p w14:paraId="481C7DED">
      <w:pPr>
        <w:jc w:val="both"/>
        <w:rPr>
          <w:rFonts w:ascii="Arial" w:hAnsi="Arial" w:cs="Arial"/>
          <w:sz w:val="28"/>
          <w:szCs w:val="28"/>
        </w:rPr>
      </w:pPr>
    </w:p>
    <w:p w14:paraId="76A29FB2">
      <w:pPr>
        <w:jc w:val="both"/>
        <w:rPr>
          <w:rFonts w:ascii="Arial" w:hAnsi="Arial" w:cs="Arial"/>
          <w:sz w:val="28"/>
          <w:szCs w:val="28"/>
        </w:rPr>
      </w:pPr>
      <w:r>
        <w:rPr>
          <w:rFonts w:ascii="Arial" w:hAnsi="Arial" w:cs="Arial"/>
          <w:sz w:val="28"/>
          <w:szCs w:val="28"/>
        </w:rPr>
        <w:t xml:space="preserve">Razlika                                Prihodi – Rashodi </w:t>
      </w:r>
      <w:r>
        <w:rPr>
          <w:rFonts w:ascii="Arial" w:hAnsi="Arial" w:cs="Arial"/>
          <w:sz w:val="28"/>
          <w:szCs w:val="28"/>
        </w:rPr>
        <w:tab/>
      </w:r>
      <w:r>
        <w:rPr>
          <w:rFonts w:ascii="Arial" w:hAnsi="Arial" w:cs="Arial"/>
          <w:sz w:val="28"/>
          <w:szCs w:val="28"/>
        </w:rPr>
        <w:t>=    6.650,00 eura</w:t>
      </w:r>
    </w:p>
    <w:p w14:paraId="1B26BD6B">
      <w:pPr>
        <w:jc w:val="both"/>
        <w:rPr>
          <w:rFonts w:ascii="Arial" w:hAnsi="Arial" w:cs="Arial"/>
          <w:sz w:val="28"/>
          <w:szCs w:val="28"/>
        </w:rPr>
      </w:pPr>
    </w:p>
    <w:p w14:paraId="4AF6FBDE">
      <w:pPr>
        <w:jc w:val="both"/>
        <w:rPr>
          <w:rFonts w:ascii="Arial" w:hAnsi="Arial" w:cs="Arial"/>
          <w:sz w:val="28"/>
          <w:szCs w:val="28"/>
        </w:rPr>
      </w:pPr>
    </w:p>
    <w:p w14:paraId="1CCF3C45">
      <w:pPr>
        <w:jc w:val="both"/>
        <w:rPr>
          <w:rFonts w:ascii="Arial" w:hAnsi="Arial" w:cs="Arial"/>
          <w:sz w:val="28"/>
          <w:szCs w:val="28"/>
        </w:rPr>
      </w:pPr>
    </w:p>
    <w:p w14:paraId="46D86E06">
      <w:pPr>
        <w:jc w:val="both"/>
        <w:rPr>
          <w:rFonts w:ascii="Arial" w:hAnsi="Arial" w:cs="Arial"/>
          <w:sz w:val="28"/>
          <w:szCs w:val="28"/>
        </w:rPr>
      </w:pPr>
    </w:p>
    <w:p w14:paraId="4AE5E31A">
      <w:pPr>
        <w:jc w:val="both"/>
        <w:rPr>
          <w:rFonts w:ascii="Arial" w:hAnsi="Arial" w:cs="Arial"/>
          <w:sz w:val="28"/>
          <w:szCs w:val="28"/>
        </w:rPr>
      </w:pPr>
    </w:p>
    <w:p w14:paraId="6F1E78AE">
      <w:pPr>
        <w:jc w:val="both"/>
        <w:rPr>
          <w:rFonts w:ascii="Arial" w:hAnsi="Arial" w:cs="Arial"/>
          <w:sz w:val="28"/>
          <w:szCs w:val="28"/>
        </w:rPr>
      </w:pPr>
    </w:p>
    <w:p w14:paraId="1B240018">
      <w:pPr>
        <w:jc w:val="both"/>
        <w:rPr>
          <w:rFonts w:ascii="Arial" w:hAnsi="Arial" w:cs="Arial"/>
          <w:sz w:val="28"/>
          <w:szCs w:val="28"/>
        </w:rPr>
      </w:pPr>
    </w:p>
    <w:p w14:paraId="4D845115">
      <w:pPr>
        <w:jc w:val="both"/>
        <w:rPr>
          <w:rFonts w:ascii="Arial" w:hAnsi="Arial" w:cs="Arial"/>
          <w:sz w:val="28"/>
          <w:szCs w:val="28"/>
        </w:rPr>
      </w:pPr>
    </w:p>
    <w:p w14:paraId="332A1C7B">
      <w:pPr>
        <w:jc w:val="both"/>
        <w:rPr>
          <w:rFonts w:ascii="Arial" w:hAnsi="Arial" w:cs="Arial"/>
          <w:sz w:val="32"/>
          <w:szCs w:val="24"/>
        </w:rPr>
      </w:pPr>
      <w:r>
        <w:rPr>
          <w:rFonts w:ascii="Arial" w:hAnsi="Arial" w:cs="Arial"/>
          <w:sz w:val="32"/>
          <w:szCs w:val="24"/>
        </w:rPr>
        <w:t>Objašnjenje:</w:t>
      </w:r>
    </w:p>
    <w:p w14:paraId="26CB96D8">
      <w:pPr>
        <w:jc w:val="both"/>
        <w:rPr>
          <w:rFonts w:ascii="Arial" w:hAnsi="Arial" w:cs="Arial"/>
          <w:sz w:val="32"/>
          <w:szCs w:val="24"/>
        </w:rPr>
      </w:pPr>
    </w:p>
    <w:p w14:paraId="20A99F0A">
      <w:pPr>
        <w:jc w:val="both"/>
        <w:rPr>
          <w:rFonts w:ascii="Arial" w:hAnsi="Arial" w:cs="Arial"/>
          <w:sz w:val="24"/>
          <w:szCs w:val="24"/>
        </w:rPr>
      </w:pPr>
      <w:r>
        <w:rPr>
          <w:rFonts w:ascii="Arial" w:hAnsi="Arial" w:cs="Arial"/>
          <w:b/>
          <w:sz w:val="24"/>
          <w:szCs w:val="24"/>
        </w:rPr>
        <w:t>Prihodi</w:t>
      </w:r>
      <w:r>
        <w:rPr>
          <w:rFonts w:ascii="Arial" w:hAnsi="Arial" w:cs="Arial"/>
          <w:sz w:val="24"/>
          <w:szCs w:val="24"/>
        </w:rPr>
        <w:t>:</w:t>
      </w:r>
    </w:p>
    <w:p w14:paraId="701936F4">
      <w:pPr>
        <w:ind w:firstLine="708"/>
        <w:jc w:val="both"/>
        <w:rPr>
          <w:rFonts w:ascii="Arial" w:hAnsi="Arial" w:cs="Arial"/>
          <w:sz w:val="24"/>
          <w:szCs w:val="24"/>
        </w:rPr>
      </w:pPr>
      <w:r>
        <w:rPr>
          <w:rFonts w:ascii="Arial" w:hAnsi="Arial" w:cs="Arial"/>
          <w:sz w:val="24"/>
          <w:szCs w:val="24"/>
        </w:rPr>
        <w:t>Idealno je da udruga ukupno ima 50 članova, ali može i više. Do sada donacije su se pokazale kao najbolji izvor sredstava te se u tu svrhu uzima rezerva od 10,000 eura što se do sada pokazalo da je ova udruga prepoznata ne samo u domicilnom gradu nego i unutar države Hrvatske.</w:t>
      </w:r>
    </w:p>
    <w:p w14:paraId="4FC9F2E6">
      <w:pPr>
        <w:ind w:firstLine="708"/>
        <w:jc w:val="both"/>
        <w:rPr>
          <w:rFonts w:ascii="Arial" w:hAnsi="Arial" w:cs="Arial"/>
          <w:sz w:val="24"/>
          <w:szCs w:val="24"/>
        </w:rPr>
      </w:pPr>
      <w:r>
        <w:rPr>
          <w:rFonts w:ascii="Arial" w:hAnsi="Arial" w:cs="Arial"/>
          <w:sz w:val="24"/>
          <w:szCs w:val="24"/>
        </w:rPr>
        <w:t xml:space="preserve">Pod točkom </w:t>
      </w:r>
      <w:r>
        <w:rPr>
          <w:rFonts w:ascii="Arial" w:hAnsi="Arial" w:cs="Arial"/>
          <w:i/>
          <w:sz w:val="24"/>
          <w:szCs w:val="24"/>
        </w:rPr>
        <w:t>samostalne djelatnosti</w:t>
      </w:r>
      <w:r>
        <w:rPr>
          <w:rFonts w:ascii="Arial" w:hAnsi="Arial" w:cs="Arial"/>
          <w:sz w:val="24"/>
          <w:szCs w:val="24"/>
        </w:rPr>
        <w:t xml:space="preserve"> pripadaju usluge korištenja auto košare ali i predavanja i prezentacije u drugim udrugama ili kao pomoć građanima grada Zagreba i države Hrvatske. </w:t>
      </w:r>
      <w:r>
        <w:rPr>
          <w:rFonts w:ascii="Arial" w:hAnsi="Arial" w:cs="Arial"/>
          <w:i/>
          <w:sz w:val="24"/>
          <w:szCs w:val="24"/>
        </w:rPr>
        <w:t>Ostalo</w:t>
      </w:r>
      <w:r>
        <w:rPr>
          <w:rFonts w:ascii="Arial" w:hAnsi="Arial" w:cs="Arial"/>
          <w:sz w:val="24"/>
          <w:szCs w:val="24"/>
        </w:rPr>
        <w:t xml:space="preserve"> podrazumijeva izraz… „štogod kapne , dobro kapne „…</w:t>
      </w:r>
    </w:p>
    <w:p w14:paraId="6621F95B">
      <w:pPr>
        <w:ind w:firstLine="708"/>
        <w:jc w:val="both"/>
        <w:rPr>
          <w:rFonts w:ascii="Arial" w:hAnsi="Arial" w:cs="Arial"/>
          <w:sz w:val="24"/>
          <w:szCs w:val="24"/>
        </w:rPr>
      </w:pPr>
    </w:p>
    <w:p w14:paraId="4B1B7194">
      <w:pPr>
        <w:jc w:val="both"/>
        <w:rPr>
          <w:rFonts w:ascii="Arial" w:hAnsi="Arial" w:cs="Arial"/>
          <w:sz w:val="24"/>
          <w:szCs w:val="24"/>
        </w:rPr>
      </w:pPr>
      <w:r>
        <w:rPr>
          <w:rFonts w:ascii="Arial" w:hAnsi="Arial" w:cs="Arial"/>
          <w:b/>
          <w:sz w:val="24"/>
          <w:szCs w:val="24"/>
        </w:rPr>
        <w:t>Rashodi</w:t>
      </w:r>
      <w:r>
        <w:rPr>
          <w:rFonts w:ascii="Arial" w:hAnsi="Arial" w:cs="Arial"/>
          <w:sz w:val="24"/>
          <w:szCs w:val="24"/>
        </w:rPr>
        <w:t>:</w:t>
      </w:r>
    </w:p>
    <w:p w14:paraId="11B932CF">
      <w:pPr>
        <w:ind w:firstLine="708"/>
        <w:jc w:val="both"/>
        <w:rPr>
          <w:rFonts w:ascii="Arial" w:hAnsi="Arial" w:cs="Arial"/>
          <w:sz w:val="24"/>
          <w:szCs w:val="24"/>
        </w:rPr>
      </w:pPr>
      <w:r>
        <w:rPr>
          <w:rFonts w:ascii="Arial" w:hAnsi="Arial" w:cs="Arial"/>
          <w:sz w:val="24"/>
          <w:szCs w:val="24"/>
        </w:rPr>
        <w:t xml:space="preserve">Ono na što se troši novac, a to su u pravilu direktni troškovi poput </w:t>
      </w:r>
      <w:r>
        <w:rPr>
          <w:rFonts w:ascii="Arial" w:hAnsi="Arial" w:cs="Arial"/>
          <w:i/>
          <w:sz w:val="24"/>
          <w:szCs w:val="24"/>
        </w:rPr>
        <w:t>vođenja računa u banci</w:t>
      </w:r>
      <w:r>
        <w:rPr>
          <w:rFonts w:ascii="Arial" w:hAnsi="Arial" w:cs="Arial"/>
          <w:sz w:val="24"/>
          <w:szCs w:val="24"/>
        </w:rPr>
        <w:t xml:space="preserve">  i </w:t>
      </w:r>
      <w:r>
        <w:rPr>
          <w:rFonts w:ascii="Arial" w:hAnsi="Arial" w:cs="Arial"/>
          <w:i/>
          <w:sz w:val="24"/>
          <w:szCs w:val="24"/>
        </w:rPr>
        <w:t>knjigovodstvene usluge</w:t>
      </w:r>
      <w:r>
        <w:rPr>
          <w:rFonts w:ascii="Arial" w:hAnsi="Arial" w:cs="Arial"/>
          <w:sz w:val="24"/>
          <w:szCs w:val="24"/>
        </w:rPr>
        <w:t xml:space="preserve"> koji na godišnjoj razini samo rastu, </w:t>
      </w:r>
      <w:r>
        <w:rPr>
          <w:rFonts w:ascii="Arial" w:hAnsi="Arial" w:cs="Arial"/>
          <w:i/>
          <w:sz w:val="24"/>
          <w:szCs w:val="24"/>
        </w:rPr>
        <w:t>uredski materijal</w:t>
      </w:r>
      <w:r>
        <w:rPr>
          <w:rFonts w:ascii="Arial" w:hAnsi="Arial" w:cs="Arial"/>
          <w:sz w:val="24"/>
          <w:szCs w:val="24"/>
        </w:rPr>
        <w:t xml:space="preserve"> je u stvari knjigovodstvene usluge, boje za printer i papir. </w:t>
      </w:r>
      <w:r>
        <w:rPr>
          <w:rFonts w:ascii="Arial" w:hAnsi="Arial" w:cs="Arial"/>
          <w:i/>
          <w:sz w:val="24"/>
          <w:szCs w:val="24"/>
        </w:rPr>
        <w:t>Troškovi auto košare</w:t>
      </w:r>
      <w:r>
        <w:rPr>
          <w:rFonts w:ascii="Arial" w:hAnsi="Arial" w:cs="Arial"/>
          <w:sz w:val="24"/>
          <w:szCs w:val="24"/>
        </w:rPr>
        <w:t xml:space="preserve"> se odnose na redovno održavanje, registracija, atest, gorivo i nepredviđeni kvarovi. Koji puta zbog neefikasnosti „onih“ koji bi trebali osigurati distribuciju donacijskih sredstava  za članove GPS 112, udruga mora iz svojih skromnih sredstava odvojiti dio novca kako bi članovima GPS 112 osigurala  adekvatni rad u zbrinjavanju pčela u gradu.</w:t>
      </w:r>
    </w:p>
    <w:p w14:paraId="5E41A0AC">
      <w:pPr>
        <w:ind w:firstLine="708"/>
        <w:jc w:val="both"/>
        <w:rPr>
          <w:rFonts w:ascii="Arial" w:hAnsi="Arial" w:cs="Arial"/>
          <w:sz w:val="24"/>
          <w:szCs w:val="24"/>
        </w:rPr>
      </w:pPr>
    </w:p>
    <w:p w14:paraId="3A44268F">
      <w:pPr>
        <w:ind w:firstLine="708"/>
        <w:jc w:val="both"/>
        <w:rPr>
          <w:rFonts w:ascii="Arial" w:hAnsi="Arial" w:cs="Arial"/>
          <w:sz w:val="24"/>
          <w:szCs w:val="24"/>
        </w:rPr>
      </w:pPr>
    </w:p>
    <w:p w14:paraId="5F4B8E3B">
      <w:pPr>
        <w:ind w:firstLine="708"/>
        <w:jc w:val="both"/>
        <w:rPr>
          <w:rFonts w:ascii="Arial" w:hAnsi="Arial" w:cs="Arial"/>
          <w:sz w:val="24"/>
          <w:szCs w:val="24"/>
        </w:rPr>
      </w:pPr>
      <w:r>
        <w:rPr>
          <w:rFonts w:ascii="Arial" w:hAnsi="Arial" w:cs="Arial"/>
          <w:sz w:val="24"/>
          <w:szCs w:val="24"/>
        </w:rPr>
        <w:t xml:space="preserve">Luka Ivanov – Kostanjevečki </w:t>
      </w:r>
    </w:p>
    <w:p w14:paraId="0B482FBE">
      <w:pPr>
        <w:ind w:firstLine="708"/>
        <w:jc w:val="both"/>
        <w:rPr>
          <w:rFonts w:ascii="Arial" w:hAnsi="Arial" w:cs="Arial"/>
          <w:sz w:val="24"/>
          <w:szCs w:val="24"/>
        </w:rPr>
      </w:pPr>
      <w:r>
        <w:rPr>
          <w:rFonts w:ascii="Arial" w:hAnsi="Arial" w:cs="Arial"/>
          <w:sz w:val="24"/>
          <w:szCs w:val="24"/>
        </w:rPr>
        <w:t xml:space="preserve">    tajnik HUP Pčelinjak</w:t>
      </w:r>
    </w:p>
    <w:p w14:paraId="06B2A0FE">
      <w:pPr>
        <w:jc w:val="right"/>
        <w:rPr>
          <w:rFonts w:ascii="Arial" w:hAnsi="Arial" w:cs="Arial"/>
          <w:sz w:val="24"/>
          <w:szCs w:val="24"/>
        </w:rPr>
      </w:pPr>
      <w:r>
        <w:rPr>
          <w:rFonts w:hint="default" w:ascii="Arial" w:hAnsi="Arial" w:cs="Arial"/>
          <w:sz w:val="24"/>
          <w:szCs w:val="24"/>
          <w:lang w:val="hr-HR"/>
        </w:rPr>
        <w:t>27.03.</w:t>
      </w:r>
      <w:bookmarkStart w:id="0" w:name="_GoBack"/>
      <w:bookmarkEnd w:id="0"/>
      <w:r>
        <w:rPr>
          <w:rFonts w:ascii="Arial" w:hAnsi="Arial" w:cs="Arial"/>
          <w:sz w:val="24"/>
          <w:szCs w:val="24"/>
        </w:rPr>
        <w:t>2025</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56"/>
    <w:rsid w:val="00102A66"/>
    <w:rsid w:val="0025167A"/>
    <w:rsid w:val="003A3956"/>
    <w:rsid w:val="00501212"/>
    <w:rsid w:val="00507C04"/>
    <w:rsid w:val="005447B3"/>
    <w:rsid w:val="006E4448"/>
    <w:rsid w:val="00792A7C"/>
    <w:rsid w:val="007C7C23"/>
    <w:rsid w:val="00892D06"/>
    <w:rsid w:val="009C5A93"/>
    <w:rsid w:val="00A72BD0"/>
    <w:rsid w:val="00B25761"/>
    <w:rsid w:val="00D87085"/>
    <w:rsid w:val="00F57EA8"/>
    <w:rsid w:val="555849C5"/>
    <w:rsid w:val="57F4346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 Spacing"/>
    <w:qFormat/>
    <w:uiPriority w:val="1"/>
    <w:rPr>
      <w:rFonts w:asciiTheme="minorHAnsi" w:hAnsiTheme="minorHAnsi" w:eastAsiaTheme="minorHAnsi" w:cstheme="minorBidi"/>
      <w:sz w:val="22"/>
      <w:szCs w:val="22"/>
      <w:lang w:val="hr-HR"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FINANCIJSKI PLAN ZA 2026 GODINU</Template>
  <Company>Grizli777</Company>
  <Pages>2</Pages>
  <Words>356</Words>
  <Characters>2031</Characters>
  <Lines>16</Lines>
  <Paragraphs>4</Paragraphs>
  <TotalTime>18</TotalTime>
  <ScaleCrop>false</ScaleCrop>
  <LinksUpToDate>false</LinksUpToDate>
  <CharactersWithSpaces>2383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2025-02-24T18:34:00Z</dcterms:created>
  <dc:creator>korisnik</dc:creator>
  <cp:lastModifiedBy>WPS_1612289907</cp:lastModifiedBy>
  <dcterms:modified xsi:type="dcterms:W3CDTF">2025-03-14T10:36:48Z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22C7297235534D8F8EB3C29B2BF38A1A_13</vt:lpwstr>
  </property>
</Properties>
</file>